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F8" w:rsidRDefault="006C0FF8" w:rsidP="006C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регионального проекта</w:t>
      </w:r>
    </w:p>
    <w:p w:rsidR="006C0FF8" w:rsidRDefault="006C0FF8" w:rsidP="006C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отрицательного отношения к коррупции»</w:t>
      </w:r>
    </w:p>
    <w:p w:rsidR="006C0FF8" w:rsidRPr="00485435" w:rsidRDefault="006C0FF8" w:rsidP="006C0F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543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tt-RU"/>
        </w:rPr>
        <w:t>Тюлячинском</w:t>
      </w:r>
      <w:r w:rsidRPr="00485435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Татарстан за 1 </w:t>
      </w:r>
      <w:r w:rsidR="0012508F">
        <w:rPr>
          <w:rFonts w:ascii="Times New Roman" w:hAnsi="Times New Roman"/>
          <w:b/>
          <w:sz w:val="28"/>
          <w:szCs w:val="28"/>
        </w:rPr>
        <w:t>полугодие</w:t>
      </w:r>
      <w:r w:rsidRPr="0048543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485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41C9B" w:rsidRDefault="00341C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409"/>
        <w:gridCol w:w="6881"/>
      </w:tblGrid>
      <w:tr w:rsidR="00341C9B" w:rsidTr="00DD3D0E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341C9B" w:rsidTr="00DD3D0E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9B" w:rsidRDefault="00341C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6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409"/>
        <w:gridCol w:w="6879"/>
      </w:tblGrid>
      <w:tr w:rsidR="00341C9B" w:rsidTr="00DD3D0E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C9B" w:rsidTr="00705E69">
        <w:trPr>
          <w:trHeight w:val="343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341C9B" w:rsidRDefault="00341C9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C9B" w:rsidTr="00DD3D0E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E71A2B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E71A2B" w:rsidRDefault="00D6140B">
            <w:pPr>
              <w:widowControl w:val="0"/>
              <w:spacing w:after="0" w:line="240" w:lineRule="auto"/>
              <w:jc w:val="both"/>
            </w:pPr>
            <w:r w:rsidRPr="00E71A2B">
              <w:rPr>
                <w:rFonts w:ascii="Times New Roman" w:hAnsi="Times New Roman"/>
                <w:sz w:val="24"/>
                <w:szCs w:val="24"/>
              </w:rPr>
              <w:t>1.3. Проведение отраслевых исследований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E71A2B" w:rsidRDefault="00D6140B">
            <w:pPr>
              <w:widowControl w:val="0"/>
              <w:spacing w:after="0" w:line="240" w:lineRule="auto"/>
              <w:jc w:val="both"/>
            </w:pPr>
            <w:r w:rsidRPr="00E71A2B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63" w:rsidRPr="00E71A2B" w:rsidRDefault="007164BE" w:rsidP="00E55B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проведен с</w:t>
            </w:r>
            <w:r w:rsidR="00E55B63" w:rsidRPr="00E71A2B">
              <w:rPr>
                <w:rFonts w:ascii="Times New Roman" w:hAnsi="Times New Roman"/>
                <w:sz w:val="24"/>
                <w:szCs w:val="24"/>
              </w:rPr>
              <w:t xml:space="preserve">оциологический опрос среди </w:t>
            </w:r>
            <w:r>
              <w:rPr>
                <w:rFonts w:ascii="Times New Roman" w:hAnsi="Times New Roman"/>
                <w:sz w:val="24"/>
                <w:szCs w:val="24"/>
              </w:rPr>
              <w:t>работающей молодежи отдела культуры и отдела спорта</w:t>
            </w:r>
            <w:r w:rsidR="00E55B63" w:rsidRPr="00E71A2B">
              <w:rPr>
                <w:rFonts w:ascii="Times New Roman" w:hAnsi="Times New Roman"/>
                <w:sz w:val="24"/>
                <w:szCs w:val="24"/>
              </w:rPr>
              <w:t>. Результаты опроса размещаются на сайте района в разделе «Противодействие коррупции».</w:t>
            </w:r>
          </w:p>
          <w:p w:rsidR="00F11088" w:rsidRPr="00E71A2B" w:rsidRDefault="00F11088" w:rsidP="00F1108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 xml:space="preserve">На сайте района в разделе «Противодействие </w:t>
            </w:r>
            <w:proofErr w:type="gramStart"/>
            <w:r w:rsidRPr="00E71A2B">
              <w:rPr>
                <w:rFonts w:ascii="Times New Roman" w:hAnsi="Times New Roman"/>
                <w:sz w:val="24"/>
                <w:szCs w:val="24"/>
              </w:rPr>
              <w:t xml:space="preserve">коррупции»  </w:t>
            </w:r>
            <w:r w:rsidRPr="00E71A2B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proofErr w:type="gramEnd"/>
            <w:r w:rsidRPr="00E71A2B">
              <w:rPr>
                <w:rFonts w:ascii="Times New Roman" w:eastAsia="Times New Roman" w:hAnsi="Times New Roman"/>
                <w:sz w:val="24"/>
                <w:szCs w:val="24"/>
              </w:rPr>
              <w:t xml:space="preserve"> и находится</w:t>
            </w:r>
            <w:r w:rsidRPr="00E71A2B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социологический опрос «Изучение мнения населения о коррупции».</w:t>
            </w:r>
          </w:p>
          <w:p w:rsidR="00341C9B" w:rsidRPr="00E71A2B" w:rsidRDefault="00705E69" w:rsidP="00F1108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470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341C9B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9B" w:rsidRDefault="00D61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  <w:p w:rsidR="00341C9B" w:rsidRDefault="00341C9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C9B" w:rsidRPr="007164BE" w:rsidTr="00DD3D0E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2.2. Размещение проектов разработанных нормативных правовых актов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 </w:t>
            </w:r>
            <w:hyperlink r:id="rId7" w:tgtFrame="_blank">
              <w:r w:rsidRPr="00AD34E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6" w:rsidRPr="00AD34ED" w:rsidRDefault="00AD34ED" w:rsidP="00F64E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</w:t>
            </w:r>
            <w:r w:rsidR="00F64E26" w:rsidRPr="00AD34ED">
              <w:rPr>
                <w:rFonts w:ascii="Times New Roman" w:hAnsi="Times New Roman"/>
                <w:sz w:val="24"/>
                <w:szCs w:val="24"/>
              </w:rPr>
              <w:t xml:space="preserve"> 2024 года в подразделе «</w:t>
            </w:r>
            <w:hyperlink r:id="rId8" w:history="1">
              <w:r w:rsidR="00F64E26" w:rsidRPr="00AD34E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  <w:r w:rsidR="00F64E26" w:rsidRPr="00AD34ED">
              <w:rPr>
                <w:rFonts w:ascii="Times New Roman" w:hAnsi="Times New Roman"/>
                <w:sz w:val="24"/>
                <w:szCs w:val="24"/>
              </w:rPr>
              <w:t xml:space="preserve">» официального сайта </w:t>
            </w:r>
            <w:proofErr w:type="spellStart"/>
            <w:r w:rsidR="00F64E26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F64E26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 </w:t>
            </w:r>
            <w:proofErr w:type="spellStart"/>
            <w:r w:rsidR="00F64E26" w:rsidRPr="00AD34ED">
              <w:rPr>
                <w:rFonts w:ascii="Times New Roman" w:hAnsi="Times New Roman"/>
                <w:sz w:val="24"/>
                <w:szCs w:val="24"/>
              </w:rPr>
              <w:t>подключеннном</w:t>
            </w:r>
            <w:proofErr w:type="spellEnd"/>
            <w:r w:rsidR="00F64E26" w:rsidRPr="00AD34ED">
              <w:rPr>
                <w:rFonts w:ascii="Times New Roman" w:hAnsi="Times New Roman"/>
                <w:sz w:val="24"/>
                <w:szCs w:val="24"/>
              </w:rPr>
              <w:t xml:space="preserve">  к единому электронному сервису «Независимая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>ионная экспертиза», размещено 66</w:t>
            </w:r>
            <w:r w:rsidR="00F64E26" w:rsidRPr="00AD34ED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нормативных правовых актов. </w:t>
            </w:r>
          </w:p>
          <w:p w:rsidR="00F64E26" w:rsidRPr="00AD34ED" w:rsidRDefault="00F64E26" w:rsidP="00F64E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поступало.</w:t>
            </w:r>
          </w:p>
          <w:p w:rsidR="00341C9B" w:rsidRPr="00AD34ED" w:rsidRDefault="003F51F8" w:rsidP="00614D9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</w:tbl>
    <w:p w:rsidR="00341C9B" w:rsidRPr="007164BE" w:rsidRDefault="00341C9B" w:rsidP="00705E69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41C9B" w:rsidRPr="007164BE" w:rsidRDefault="0034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41C9B" w:rsidRDefault="0034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E1DBD" w:rsidRPr="007164BE" w:rsidRDefault="000E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41C9B" w:rsidRPr="00AD34ED" w:rsidRDefault="00D61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4ED">
        <w:rPr>
          <w:rFonts w:ascii="Times New Roman" w:hAnsi="Times New Roman"/>
          <w:b/>
          <w:sz w:val="28"/>
          <w:szCs w:val="28"/>
        </w:rPr>
        <w:lastRenderedPageBreak/>
        <w:t xml:space="preserve">Форма предоставления информации об исполнении комплекса процессных мероприятий </w:t>
      </w:r>
    </w:p>
    <w:p w:rsidR="00341C9B" w:rsidRPr="00AD34ED" w:rsidRDefault="00D6140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 w:rsidRPr="00AD34ED">
        <w:rPr>
          <w:rFonts w:ascii="Times New Roman" w:hAnsi="Times New Roman"/>
          <w:b/>
          <w:sz w:val="28"/>
          <w:szCs w:val="28"/>
        </w:rPr>
        <w:t>«Совершенствование антикоррупционной политики Республики Татарстан»</w:t>
      </w:r>
    </w:p>
    <w:p w:rsidR="00341C9B" w:rsidRPr="00AD34ED" w:rsidRDefault="00341C9B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41C9B" w:rsidRPr="00AD34ED" w:rsidRDefault="00341C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6861"/>
        <w:gridCol w:w="2410"/>
        <w:gridCol w:w="6030"/>
      </w:tblGrid>
      <w:tr w:rsidR="00341C9B" w:rsidRPr="00AD34ED" w:rsidTr="00705E69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</w:pPr>
            <w:r w:rsidRPr="00AD34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3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34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</w:pPr>
            <w:r w:rsidRPr="00AD34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3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34ED"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341C9B" w:rsidRPr="00AD34ED" w:rsidTr="00705E69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9B" w:rsidRPr="00AD34ED" w:rsidRDefault="00341C9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9B" w:rsidRPr="00AD34ED" w:rsidRDefault="00341C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6861"/>
        <w:gridCol w:w="2410"/>
        <w:gridCol w:w="6030"/>
      </w:tblGrid>
      <w:tr w:rsidR="00341C9B" w:rsidRPr="007164BE" w:rsidTr="00705E69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C9B" w:rsidRPr="007164BE" w:rsidTr="00705E69">
        <w:trPr>
          <w:trHeight w:val="343"/>
        </w:trPr>
        <w:tc>
          <w:tcPr>
            <w:tcW w:w="1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341C9B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9B" w:rsidRPr="00AD34ED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ED"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 w:rsidRPr="00AD34ED"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341C9B" w:rsidRPr="00AD34ED" w:rsidRDefault="00341C9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164BE" w:rsidRDefault="00D614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both"/>
            </w:pPr>
            <w:r w:rsidRPr="00AD34ED">
              <w:rPr>
                <w:rFonts w:ascii="Times New Roman" w:hAnsi="Times New Roman"/>
                <w:sz w:val="24"/>
                <w:szCs w:val="24"/>
              </w:rPr>
              <w:t>1.1. Разработка и актуализация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AD34ED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№231 от 14.02.2024 «Об итогах социально – экономического развития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2023 году и задачах на 2024 год»;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233 от 07.03.2024 О внесении изменений в Положение о муниципальной службе в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Татарстан, утвержденное решением Совета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04.04.2014 г. № 199 «О внесении изменений в некоторые нормативно-правовые акты о муниципальной службе в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Татарстан»;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22 от 06.02.2024 г. Об утверждении муниципальной программы «Реализация антикоррупционной политики в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 на 2024-2026 годы»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Во исполнении протеста прокуратуры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принято  Постановление</w:t>
            </w:r>
            <w:proofErr w:type="gram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14 от 31.01.2024 г. О внесении изменений в 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ного района от 27.06.2017 года № 361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37 от 12.03.2024 г. О закреплении муниципальных бюджетных образовательных учреждений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за конкретными территориями (населенные пункты)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34 от 07.03.2024 г. О внесении изменений в 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28.07.2021 года № 233 «Об утверждении административных регламентов предоставления муниципальных услуг»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33 от 06.03.2024 г. О внесении изменений в 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06.10.2021 года № 257 «Об утверждении административных регламентов предоставления муниципальных услуг»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29 от 27.02.2024 г. О внесении изменений в 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24.11.2015 года № 559 «Об организации питания уча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в общеобразовательных организациях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17 от 31.01.2024 г. 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</w:t>
            </w:r>
            <w:r w:rsidRPr="00AD34ED">
              <w:rPr>
                <w:rFonts w:ascii="Times New Roman" w:hAnsi="Times New Roman"/>
                <w:sz w:val="24"/>
                <w:szCs w:val="24"/>
              </w:rPr>
              <w:t>еспублики Татарстан на 2024 год</w:t>
            </w:r>
          </w:p>
          <w:p w:rsidR="0072599D" w:rsidRPr="00AD34ED" w:rsidRDefault="00DD3D0E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-</w:t>
            </w:r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13 сельских поселений приняли решения во исполнении заключения Министерства юстиции Республики Татарстан решения Советов сельских поселений «О внесении изменений в Правила содержания сельскохозяйственных животных и птиц на </w:t>
            </w:r>
            <w:proofErr w:type="gram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территории  сельского</w:t>
            </w:r>
            <w:proofErr w:type="gram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72599D"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72599D" w:rsidRPr="00AD34E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Республики Татарстан.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232 от 12.04.2024 Об исполнении бюджета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спублики Татарстан за 2023 год 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236 от 12.04.2024 «О внесении изменений в Положение о муниципальной службе в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утвержденное р</w:t>
            </w:r>
            <w:r>
              <w:rPr>
                <w:rFonts w:ascii="Times New Roman" w:hAnsi="Times New Roman"/>
                <w:sz w:val="24"/>
                <w:szCs w:val="24"/>
              </w:rPr>
              <w:t>ешением от 04.04.2024 г. № 199»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236 от 12.04.2024 Об отчете о деятельности Контрольно-счетной палаты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 год;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243 от 03.05.2024 О внесении изменений в решение Совета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28.12.2023 г. №228 «Об утверждении Прогнозного плана (Программы) приватизации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2024 год»;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57 от 07.05.2024 г.  О предоставлении из бюджета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субсидии в целях возмещения недополученных доходов в связи с осуществлением регулярных пассажирских перевозок автомобильным транспортом по регу</w:t>
            </w:r>
            <w:r>
              <w:rPr>
                <w:rFonts w:ascii="Times New Roman" w:hAnsi="Times New Roman"/>
                <w:sz w:val="24"/>
                <w:szCs w:val="24"/>
              </w:rPr>
              <w:t>лярным муниципальным маршрутам;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50 от 11.04.2024 г </w:t>
            </w:r>
            <w:proofErr w:type="gramStart"/>
            <w:r w:rsidRPr="00AD34E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и требований к форме планов-графиков закупок товаров, работ, услуг для обеспечения нужд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D34ED" w:rsidRPr="00AD34ED" w:rsidRDefault="00AD34ED" w:rsidP="00AD34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AD34ED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45 от 02.04.2024 г </w:t>
            </w:r>
            <w:proofErr w:type="gramStart"/>
            <w:r w:rsidRPr="00AD34E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D34ED">
              <w:rPr>
                <w:rFonts w:ascii="Times New Roman" w:hAnsi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пользование»</w:t>
            </w:r>
          </w:p>
          <w:p w:rsidR="00341C9B" w:rsidRPr="00AD34ED" w:rsidRDefault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ED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14D96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3F8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D70A9" w:rsidRDefault="00D6140B">
            <w:pPr>
              <w:widowControl w:val="0"/>
              <w:spacing w:after="0" w:line="240" w:lineRule="auto"/>
              <w:jc w:val="both"/>
            </w:pPr>
            <w:r w:rsidRPr="007D70A9">
              <w:rPr>
                <w:rFonts w:ascii="Times New Roman" w:hAnsi="Times New Roman"/>
                <w:sz w:val="24"/>
                <w:szCs w:val="24"/>
              </w:rPr>
              <w:t xml:space="preserve">1.2. Обеспечение действенного функционирования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</w:t>
            </w:r>
            <w:r w:rsidRPr="007D70A9">
              <w:rPr>
                <w:rFonts w:ascii="Times New Roman" w:hAnsi="Times New Roman"/>
                <w:sz w:val="24"/>
                <w:szCs w:val="24"/>
              </w:rPr>
              <w:lastRenderedPageBreak/>
              <w:t>от иных функций, не относящихся к антикоррупционной работе)) в соответствии с </w:t>
            </w:r>
            <w:hyperlink r:id="rId9" w:anchor="/document/196300/entry/0" w:history="1">
              <w:r w:rsidRPr="007D70A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7D70A9">
              <w:rPr>
                <w:rFonts w:ascii="Times New Roman" w:hAnsi="Times New Roman"/>
                <w:sz w:val="24"/>
                <w:szCs w:val="24"/>
              </w:rPr>
              <w:t> Президента Российской Федерации № 1065 и </w:t>
            </w:r>
            <w:hyperlink r:id="rId10" w:anchor="/document/8166002/entry/0" w:history="1">
              <w:r w:rsidRPr="007D70A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7D70A9">
              <w:rPr>
                <w:rFonts w:ascii="Times New Roman" w:hAnsi="Times New Roman"/>
                <w:sz w:val="24"/>
                <w:szCs w:val="24"/>
              </w:rPr>
              <w:t> Президента Республики Татарстан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D70A9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A9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69" w:rsidRPr="007D70A9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A9">
              <w:rPr>
                <w:rFonts w:ascii="Times New Roman" w:hAnsi="Times New Roman"/>
                <w:sz w:val="24"/>
                <w:szCs w:val="24"/>
              </w:rPr>
              <w:t>Распоряж</w:t>
            </w:r>
            <w:r w:rsidR="00E71A2B" w:rsidRPr="007D70A9">
              <w:rPr>
                <w:rFonts w:ascii="Times New Roman" w:hAnsi="Times New Roman"/>
                <w:sz w:val="24"/>
                <w:szCs w:val="24"/>
              </w:rPr>
              <w:t xml:space="preserve">ением Главы </w:t>
            </w:r>
            <w:proofErr w:type="spellStart"/>
            <w:r w:rsidR="00E71A2B" w:rsidRPr="007D70A9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E71A2B" w:rsidRPr="007D70A9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Pr="007D70A9">
              <w:rPr>
                <w:rFonts w:ascii="Times New Roman" w:hAnsi="Times New Roman"/>
                <w:sz w:val="24"/>
                <w:szCs w:val="24"/>
              </w:rPr>
              <w:t>пального района от 18.12.2013г. №27 определено должностное л</w:t>
            </w:r>
            <w:r w:rsidR="00E71A2B" w:rsidRPr="007D70A9">
              <w:rPr>
                <w:rFonts w:ascii="Times New Roman" w:hAnsi="Times New Roman"/>
                <w:sz w:val="24"/>
                <w:szCs w:val="24"/>
              </w:rPr>
              <w:t>ицо кадровой службы, ответствен</w:t>
            </w:r>
            <w:r w:rsidRPr="007D70A9">
              <w:rPr>
                <w:rFonts w:ascii="Times New Roman" w:hAnsi="Times New Roman"/>
                <w:sz w:val="24"/>
                <w:szCs w:val="24"/>
              </w:rPr>
              <w:t>ное за работу по профилактике коррупционных и иных правонарушений – Закирова Г.И., возложив на нее функци</w:t>
            </w:r>
            <w:r w:rsidR="00E71A2B" w:rsidRPr="007D70A9">
              <w:rPr>
                <w:rFonts w:ascii="Times New Roman" w:hAnsi="Times New Roman"/>
                <w:sz w:val="24"/>
                <w:szCs w:val="24"/>
              </w:rPr>
              <w:t>и в соответствии с Указом Прези</w:t>
            </w:r>
            <w:r w:rsidRPr="007D70A9">
              <w:rPr>
                <w:rFonts w:ascii="Times New Roman" w:hAnsi="Times New Roman"/>
                <w:sz w:val="24"/>
                <w:szCs w:val="24"/>
              </w:rPr>
              <w:t xml:space="preserve">дента Российской Федерации от </w:t>
            </w:r>
            <w:r w:rsidRPr="007D70A9">
              <w:rPr>
                <w:rFonts w:ascii="Times New Roman" w:hAnsi="Times New Roman"/>
                <w:sz w:val="24"/>
                <w:szCs w:val="24"/>
              </w:rPr>
              <w:lastRenderedPageBreak/>
              <w:t>21.09.2009г. № 1065 и Президента Республики Татарстан от 01.11.2010 № УП-711.</w:t>
            </w:r>
          </w:p>
          <w:p w:rsidR="00341C9B" w:rsidRPr="007D70A9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0A9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50545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54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50545" w:rsidRDefault="00D6140B">
            <w:pPr>
              <w:widowControl w:val="0"/>
              <w:spacing w:after="0" w:line="240" w:lineRule="auto"/>
              <w:jc w:val="both"/>
            </w:pPr>
            <w:r w:rsidRPr="00650545">
              <w:rPr>
                <w:rFonts w:ascii="Times New Roman" w:hAnsi="Times New Roman"/>
                <w:sz w:val="24"/>
                <w:szCs w:val="24"/>
              </w:rPr>
              <w:t>1.3. Оценка коррупционных рисков, возникающих при реализации государственными гражданскими служащими Республики Татарстан, муниципальными служащими в Республике Татарстан функций, и внесение (при необходимости) уточнения в перечень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50545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45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DE" w:rsidRPr="00E71A2B" w:rsidRDefault="008E24DE" w:rsidP="008E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 Перечень должностей муниципальной службы в органах местного самоуправления </w:t>
            </w:r>
            <w:proofErr w:type="spellStart"/>
            <w:r w:rsidRPr="00E71A2B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E71A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обновляется ежегодно.</w:t>
            </w:r>
          </w:p>
          <w:p w:rsidR="008E24DE" w:rsidRPr="00E71A2B" w:rsidRDefault="008E24DE" w:rsidP="008E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>В 2023 году обновлен перечень лиц муниципальных служащих, замещение которых связано с коррупционными рисками. Р</w:t>
            </w:r>
            <w:r w:rsidR="006C0FF8" w:rsidRPr="00E71A2B">
              <w:rPr>
                <w:rFonts w:ascii="Times New Roman" w:hAnsi="Times New Roman"/>
                <w:sz w:val="24"/>
                <w:szCs w:val="24"/>
              </w:rPr>
              <w:t>аспоряжение</w:t>
            </w:r>
            <w:r w:rsidR="009866E8" w:rsidRPr="00E71A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C0FF8" w:rsidRPr="00E71A2B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proofErr w:type="spellStart"/>
            <w:r w:rsidR="006C0FF8" w:rsidRPr="00E71A2B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6C0FF8" w:rsidRPr="00E71A2B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6C0FF8" w:rsidRPr="00E71A2B">
              <w:rPr>
                <w:rFonts w:ascii="Times New Roman" w:hAnsi="Times New Roman"/>
                <w:sz w:val="24"/>
                <w:szCs w:val="24"/>
              </w:rPr>
              <w:t>района  от</w:t>
            </w:r>
            <w:proofErr w:type="gramEnd"/>
            <w:r w:rsidR="006C0FF8" w:rsidRPr="00E71A2B">
              <w:rPr>
                <w:rFonts w:ascii="Times New Roman" w:hAnsi="Times New Roman"/>
                <w:sz w:val="24"/>
                <w:szCs w:val="24"/>
              </w:rPr>
              <w:t xml:space="preserve"> 11.09.2023 </w:t>
            </w:r>
            <w:r w:rsidRPr="00E7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FF8" w:rsidRPr="00E71A2B">
              <w:rPr>
                <w:rFonts w:ascii="Times New Roman" w:hAnsi="Times New Roman"/>
                <w:sz w:val="24"/>
                <w:szCs w:val="24"/>
              </w:rPr>
              <w:t xml:space="preserve">№ 16 «Об  утверждении перечня должностей муниципальной службы в органах местного самоуправления </w:t>
            </w:r>
            <w:proofErr w:type="spellStart"/>
            <w:r w:rsidR="006C0FF8" w:rsidRPr="00E71A2B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="006C0FF8" w:rsidRPr="00E71A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Татарстан, замещение которых связано с коррупционными рисками». </w:t>
            </w:r>
            <w:r w:rsidR="00D22349">
              <w:rPr>
                <w:rFonts w:ascii="Times New Roman" w:hAnsi="Times New Roman"/>
                <w:sz w:val="24"/>
                <w:szCs w:val="24"/>
              </w:rPr>
              <w:t>В отчетном периоде изменения не вносились.</w:t>
            </w:r>
          </w:p>
          <w:p w:rsidR="00341C9B" w:rsidRPr="00E71A2B" w:rsidRDefault="003F51F8" w:rsidP="008E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A2B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1.4. Анализ личных дел государственных гражданских служащих Республики Татарстан, муниципальных служащих в Республике Татарстан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58" w:rsidRPr="00FF6158" w:rsidRDefault="00FF6158" w:rsidP="00FF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лицами, ответственными за работу по профилактике коррупционных и иных правонарушений в органах местного самоуправления при приеме кандидатов на службу анализируются сведения в анкетах об их родственниках и свойственниках в целях выявления возможного конфликта интересов. </w:t>
            </w:r>
            <w:r w:rsidRPr="00FF6158">
              <w:rPr>
                <w:rFonts w:ascii="Times New Roman" w:hAnsi="Times New Roman"/>
                <w:sz w:val="24"/>
                <w:szCs w:val="24"/>
              </w:rPr>
              <w:t xml:space="preserve">Проводится работа с гражданами, поступающими на муниципальную службу по ознакомлению с требованиями действующего законодательства о муниципальной </w:t>
            </w:r>
            <w:r w:rsidRPr="00FF6158">
              <w:rPr>
                <w:rFonts w:ascii="Times New Roman" w:hAnsi="Times New Roman"/>
                <w:sz w:val="24"/>
                <w:szCs w:val="24"/>
              </w:rPr>
              <w:lastRenderedPageBreak/>
              <w:t>службе и противодействии коррупции, с соответствующими локальными актами органов местного самоуправления муниципального образования, даются разъяснения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FF6158" w:rsidRPr="00FF6158" w:rsidRDefault="00FF6158" w:rsidP="00FF6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B0860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FF6158">
              <w:rPr>
                <w:rFonts w:ascii="Times New Roman" w:hAnsi="Times New Roman"/>
                <w:sz w:val="24"/>
                <w:szCs w:val="24"/>
              </w:rPr>
              <w:t xml:space="preserve"> 2024 года на муниципальную службу принято 2 сотрудника. </w:t>
            </w:r>
          </w:p>
          <w:p w:rsidR="00A8551C" w:rsidRPr="00FF6158" w:rsidRDefault="00A85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1.5. Проведение проверок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 целях определения отношения к проявлениям коррупции проводится добровольное тестирование при поступлении на муниципальную службу.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При поступлении на муниципальную службу проводится анализ представленных документов, в том числе на наличие родственных связей, наличия ИП, направляются запросы о подлинности дипломов об образовании, наличия (отсутствия) судимости.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 истекший период проведен анализ 2 кандидатов на должности муниципальной службы с использованием баз данных Федеральной налоговой службы путем предоставления сведений из ЕГРЮЛ/ЕГРИП.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Проверена информация о выдаче дипломов о высшем и средне профессиональном образовании посредством сайта в отношении 2 муниципальных служащих.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Во исполнение законодательства о муниципальной службе, о противодействии коррупции 2 </w:t>
            </w:r>
            <w:proofErr w:type="spellStart"/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мя</w:t>
            </w:r>
            <w:proofErr w:type="spellEnd"/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гражданами, претендующими на замещение должностей муниципальной службы, предоставлены справки об отсутствии судимости.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Проводятся проверки соблюдения муниципальными служащими требований к служебному поведению, </w:t>
            </w: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предусмотренных законодательством о государственной и муниципальной службе.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 отчетный период проведен анализ в отношении 78 муниципальных служащих</w:t>
            </w:r>
            <w:r w:rsidR="00D834E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="00905D0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включая сельские поселения)</w:t>
            </w: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через доступ к базам данных ЕГРИП и ЕГРЮЛ с целью выявления на предмет участия предпринимательской деятельности.</w:t>
            </w:r>
          </w:p>
          <w:p w:rsidR="00FF6158" w:rsidRPr="00FF6158" w:rsidRDefault="00FF6158" w:rsidP="00FF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 целях усиления работы по профилактике коррупционных и иных правонарушений, кадровыми службами органов местного самоуправления ведется постоянная разъяснительная работа по профилактике коррупционных и иных правонарушений среди муниципальных служащих.</w:t>
            </w:r>
          </w:p>
          <w:p w:rsidR="00341C9B" w:rsidRPr="007164BE" w:rsidRDefault="009866E8" w:rsidP="00986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615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1.7. 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8" w:rsidRPr="00FF6158" w:rsidRDefault="009866E8" w:rsidP="009866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 мониторинг 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участия лиц, замещающих</w:t>
            </w:r>
            <w:r w:rsidRPr="00FF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должности и должности муниципальной службы</w:t>
            </w:r>
            <w:r w:rsidRPr="00FF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в управлении коммерческими и некоммерческими организациями</w:t>
            </w:r>
            <w:r w:rsidRPr="00FF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баз данных Федеральной налоговой службы путем предоставления сведений из ЕГРЮЛ/ЕГРИП. </w:t>
            </w:r>
          </w:p>
          <w:p w:rsidR="009866E8" w:rsidRPr="00FF6158" w:rsidRDefault="009866E8" w:rsidP="009866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обнаружено.</w:t>
            </w:r>
          </w:p>
          <w:p w:rsidR="00341C9B" w:rsidRPr="00FF6158" w:rsidRDefault="009866E8" w:rsidP="00986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1.8. Проведение работы с организациями, подведомственными органам публичной власти в Республике Татарстан, в целях обеспечения соблюдения обязанности принимать меры, предусмотренные положениями </w:t>
            </w:r>
            <w:hyperlink r:id="rId11" w:anchor="/document/12164203/entry/133" w:history="1">
              <w:r w:rsidRPr="00FF61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13.3</w:t>
              </w:r>
            </w:hyperlink>
            <w:r w:rsidRPr="00FF6158">
              <w:rPr>
                <w:rFonts w:ascii="Times New Roman" w:hAnsi="Times New Roman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8" w:rsidRPr="00FF6158" w:rsidRDefault="009866E8" w:rsidP="00986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 контроль соблюдения обязанности принимать меры, предусмотренные положениями статьи 13</w:t>
            </w:r>
            <w:r w:rsidRPr="00FF615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      </w:r>
          </w:p>
          <w:p w:rsidR="009866E8" w:rsidRPr="00FF6158" w:rsidRDefault="009866E8" w:rsidP="00986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Кадровыми службами актуализируются анкетные данные лиц, замещающих муниципальные должности и должности муниципальной службы.</w:t>
            </w:r>
          </w:p>
          <w:p w:rsidR="00C026C5" w:rsidRPr="00FF6158" w:rsidRDefault="009866E8" w:rsidP="00986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Нарушения муниципальными служащими требований 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законодательства в сфере муниципальной службы, возникающих при поступлении граждан на должность муниципальной с</w:t>
            </w:r>
            <w:r w:rsidR="00C026C5"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лужбы</w:t>
            </w: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выявлены.   </w:t>
            </w:r>
          </w:p>
          <w:p w:rsidR="00341C9B" w:rsidRPr="00FF6158" w:rsidRDefault="00650545" w:rsidP="00986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58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pacing w:after="0" w:line="240" w:lineRule="auto"/>
              <w:jc w:val="both"/>
            </w:pPr>
            <w:r w:rsidRPr="00132893">
              <w:rPr>
                <w:rFonts w:ascii="Times New Roman" w:hAnsi="Times New Roman"/>
                <w:sz w:val="24"/>
                <w:szCs w:val="24"/>
              </w:rPr>
              <w:t>1.9. 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_399023"/>
            <w:bookmarkEnd w:id="0"/>
            <w:r w:rsidRPr="00132893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</w:t>
            </w:r>
          </w:p>
          <w:p w:rsidR="00341C9B" w:rsidRPr="00132893" w:rsidRDefault="00D6140B">
            <w:pPr>
              <w:pStyle w:val="a0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p_399024"/>
            <w:bookmarkEnd w:id="1"/>
            <w:r w:rsidRPr="001328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FF" w:rsidRPr="00132893" w:rsidRDefault="003A6AFF" w:rsidP="003A6AFF">
            <w:pPr>
              <w:pStyle w:val="23"/>
              <w:suppressAutoHyphens/>
              <w:spacing w:after="0" w:line="240" w:lineRule="auto"/>
              <w:ind w:left="0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t>Годовой план работы ко</w:t>
            </w:r>
            <w:r w:rsidRPr="00132893">
              <w:rPr>
                <w:rFonts w:ascii="Times New Roman" w:hAnsi="Times New Roman"/>
                <w:sz w:val="24"/>
                <w:szCs w:val="24"/>
              </w:rPr>
              <w:softHyphen/>
              <w:t xml:space="preserve">миссии по координации работы по противодействию коррупции в </w:t>
            </w:r>
            <w:proofErr w:type="spellStart"/>
            <w:r w:rsidRPr="00132893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Pr="00132893">
              <w:rPr>
                <w:rFonts w:ascii="Times New Roman" w:hAnsi="Times New Roman"/>
                <w:sz w:val="24"/>
                <w:szCs w:val="24"/>
              </w:rPr>
              <w:t xml:space="preserve"> муниципальном    районе   Республики Татарстан на </w:t>
            </w:r>
            <w:proofErr w:type="gramStart"/>
            <w:r w:rsidRPr="00132893">
              <w:rPr>
                <w:rFonts w:ascii="Times New Roman" w:hAnsi="Times New Roman"/>
                <w:sz w:val="24"/>
                <w:szCs w:val="24"/>
              </w:rPr>
              <w:t>2024  год</w:t>
            </w:r>
            <w:proofErr w:type="gramEnd"/>
            <w:r w:rsidRPr="00132893">
              <w:rPr>
                <w:rFonts w:ascii="Times New Roman" w:hAnsi="Times New Roman"/>
                <w:sz w:val="24"/>
                <w:szCs w:val="24"/>
              </w:rPr>
              <w:t xml:space="preserve"> утвержден </w:t>
            </w:r>
            <w:r w:rsidR="00C026C5" w:rsidRPr="00132893">
              <w:rPr>
                <w:rFonts w:ascii="Times New Roman" w:hAnsi="Times New Roman"/>
                <w:sz w:val="24"/>
                <w:szCs w:val="24"/>
              </w:rPr>
              <w:t>от 05.12.2023г</w:t>
            </w:r>
            <w:r w:rsidRPr="00132893">
              <w:rPr>
                <w:rFonts w:ascii="Times New Roman" w:hAnsi="Times New Roman"/>
                <w:sz w:val="24"/>
                <w:szCs w:val="24"/>
              </w:rPr>
              <w:t>.</w:t>
            </w:r>
            <w:r w:rsidR="00132893">
              <w:rPr>
                <w:rFonts w:ascii="Times New Roman" w:hAnsi="Times New Roman"/>
                <w:sz w:val="24"/>
                <w:szCs w:val="24"/>
              </w:rPr>
              <w:t>.</w:t>
            </w:r>
            <w:r w:rsidRPr="00132893">
              <w:rPr>
                <w:rFonts w:ascii="Times New Roman" w:hAnsi="Times New Roman"/>
                <w:sz w:val="24"/>
                <w:szCs w:val="24"/>
              </w:rPr>
              <w:t xml:space="preserve"> План размещен на официальном сайте района в разделе «Противодействие коррупции». </w:t>
            </w:r>
          </w:p>
          <w:p w:rsidR="003A6AFF" w:rsidRPr="00132893" w:rsidRDefault="007164BE" w:rsidP="007164BE">
            <w:pPr>
              <w:pStyle w:val="23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полугодие</w:t>
            </w:r>
            <w:r w:rsidR="003A6AFF" w:rsidRPr="00132893">
              <w:rPr>
                <w:rFonts w:ascii="Times New Roman" w:hAnsi="Times New Roman"/>
                <w:sz w:val="24"/>
                <w:szCs w:val="24"/>
              </w:rPr>
              <w:t xml:space="preserve"> 2024 года про</w:t>
            </w:r>
            <w:r w:rsidR="00B04DF3" w:rsidRPr="00132893">
              <w:rPr>
                <w:rFonts w:ascii="Times New Roman" w:hAnsi="Times New Roman"/>
                <w:sz w:val="24"/>
                <w:szCs w:val="24"/>
              </w:rPr>
              <w:t>шло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заседания</w:t>
            </w:r>
            <w:r w:rsidR="003A6AFF" w:rsidRPr="00132893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работ</w:t>
            </w:r>
            <w:r w:rsidR="00B04DF3" w:rsidRPr="00132893">
              <w:rPr>
                <w:rFonts w:ascii="Times New Roman" w:hAnsi="Times New Roman"/>
                <w:sz w:val="24"/>
                <w:szCs w:val="24"/>
              </w:rPr>
              <w:t xml:space="preserve">ы по противодействию коррупции в </w:t>
            </w:r>
            <w:proofErr w:type="spellStart"/>
            <w:r w:rsidR="00B04DF3" w:rsidRPr="00132893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="00B04DF3" w:rsidRPr="0013289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5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14 июня </w:t>
            </w:r>
            <w:r w:rsidR="00B04DF3" w:rsidRPr="00132893">
              <w:rPr>
                <w:rFonts w:ascii="Times New Roman" w:hAnsi="Times New Roman"/>
                <w:sz w:val="24"/>
                <w:szCs w:val="24"/>
              </w:rPr>
              <w:t xml:space="preserve">2024 года. </w:t>
            </w:r>
            <w:r w:rsidR="003A6AFF" w:rsidRPr="00132893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B04DF3" w:rsidRPr="00132893">
              <w:rPr>
                <w:rFonts w:ascii="Times New Roman" w:hAnsi="Times New Roman"/>
                <w:sz w:val="24"/>
                <w:szCs w:val="24"/>
              </w:rPr>
              <w:t xml:space="preserve">решений протокола </w:t>
            </w:r>
            <w:r w:rsidR="003A6AFF" w:rsidRPr="00132893">
              <w:rPr>
                <w:rFonts w:ascii="Times New Roman" w:hAnsi="Times New Roman"/>
                <w:sz w:val="24"/>
                <w:szCs w:val="24"/>
              </w:rPr>
              <w:t>контролируется помощником главы по вопросам противодействия коррупции. Протоколы заседаний размещены на официальном сайте района.</w:t>
            </w:r>
            <w:r w:rsidR="008E24DE" w:rsidRPr="0013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C9B" w:rsidRPr="00132893" w:rsidRDefault="003F51F8" w:rsidP="003A6A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787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0E1DBD" w:rsidRDefault="00D6140B">
            <w:pPr>
              <w:widowControl w:val="0"/>
              <w:spacing w:after="0" w:line="240" w:lineRule="auto"/>
              <w:jc w:val="both"/>
            </w:pPr>
            <w:r w:rsidRPr="000E1DBD">
              <w:rPr>
                <w:rFonts w:ascii="Times New Roman" w:hAnsi="Times New Roman"/>
                <w:sz w:val="24"/>
                <w:szCs w:val="24"/>
              </w:rPr>
              <w:t>2.1. Обеспечение условий для проведения антикоррупционной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0E1DBD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BD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0E" w:rsidRPr="000E1DBD" w:rsidRDefault="00DD3D0E" w:rsidP="00DD3D0E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1DBD">
              <w:rPr>
                <w:rFonts w:ascii="Times New Roman" w:hAnsi="Times New Roman"/>
                <w:sz w:val="24"/>
                <w:szCs w:val="20"/>
              </w:rPr>
              <w:t xml:space="preserve">Органами местного самоуправления </w:t>
            </w:r>
            <w:proofErr w:type="spellStart"/>
            <w:r w:rsidRPr="000E1DBD">
              <w:rPr>
                <w:rFonts w:ascii="Times New Roman" w:hAnsi="Times New Roman"/>
                <w:sz w:val="24"/>
                <w:szCs w:val="20"/>
              </w:rPr>
              <w:t>Тюлячинского</w:t>
            </w:r>
            <w:proofErr w:type="spellEnd"/>
            <w:r w:rsidRPr="000E1DBD">
              <w:rPr>
                <w:rFonts w:ascii="Times New Roman" w:hAnsi="Times New Roman"/>
                <w:sz w:val="24"/>
                <w:szCs w:val="20"/>
              </w:rPr>
              <w:t xml:space="preserve"> муниципального района созданы все необходимые условия для проведения независимой антикоррупционной экспертизы проектов муниципальных нормативных правовых актов. Все проекты муниципальных нормативных правовых актов размещаются на сайте </w:t>
            </w:r>
            <w:proofErr w:type="spellStart"/>
            <w:r w:rsidRPr="000E1DBD">
              <w:rPr>
                <w:rFonts w:ascii="Times New Roman" w:hAnsi="Times New Roman"/>
                <w:sz w:val="24"/>
                <w:szCs w:val="20"/>
              </w:rPr>
              <w:t>Тюлячинского</w:t>
            </w:r>
            <w:proofErr w:type="spellEnd"/>
            <w:r w:rsidRPr="000E1DBD">
              <w:rPr>
                <w:rFonts w:ascii="Times New Roman" w:hAnsi="Times New Roman"/>
                <w:sz w:val="24"/>
                <w:szCs w:val="20"/>
              </w:rPr>
              <w:t xml:space="preserve"> муниципального района в подразделе «Независимая антикоррупционная экспертиза нормативных правовых актов и проектов нормативных правовых актов». </w:t>
            </w:r>
          </w:p>
          <w:p w:rsidR="00DD3D0E" w:rsidRPr="000E1DBD" w:rsidRDefault="00DD3D0E" w:rsidP="00DD3D0E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1DBD">
              <w:rPr>
                <w:rFonts w:ascii="Times New Roman" w:hAnsi="Times New Roman"/>
                <w:sz w:val="24"/>
                <w:szCs w:val="20"/>
              </w:rPr>
              <w:t xml:space="preserve">За 1 </w:t>
            </w:r>
            <w:r w:rsidR="000E1DBD">
              <w:rPr>
                <w:rFonts w:ascii="Times New Roman" w:hAnsi="Times New Roman"/>
                <w:sz w:val="24"/>
                <w:szCs w:val="20"/>
              </w:rPr>
              <w:t>полугодие</w:t>
            </w:r>
            <w:r w:rsidRPr="000E1DBD">
              <w:rPr>
                <w:rFonts w:ascii="Times New Roman" w:hAnsi="Times New Roman"/>
                <w:sz w:val="24"/>
                <w:szCs w:val="20"/>
              </w:rPr>
              <w:t xml:space="preserve"> 2024 года подготовлено </w:t>
            </w:r>
            <w:r w:rsidR="007B0860">
              <w:rPr>
                <w:rFonts w:ascii="Times New Roman" w:hAnsi="Times New Roman"/>
                <w:sz w:val="24"/>
                <w:szCs w:val="20"/>
              </w:rPr>
              <w:t>168</w:t>
            </w:r>
            <w:r w:rsidRPr="000E1DBD">
              <w:rPr>
                <w:rFonts w:ascii="Times New Roman" w:hAnsi="Times New Roman"/>
                <w:sz w:val="24"/>
                <w:szCs w:val="20"/>
              </w:rPr>
              <w:t xml:space="preserve"> проектов НПА. Из них прошли антикоррупционную экспертизу все.  </w:t>
            </w:r>
            <w:proofErr w:type="spellStart"/>
            <w:r w:rsidRPr="000E1DBD">
              <w:rPr>
                <w:rFonts w:ascii="Times New Roman" w:hAnsi="Times New Roman"/>
                <w:sz w:val="24"/>
                <w:szCs w:val="20"/>
              </w:rPr>
              <w:t>Коррупциогенных</w:t>
            </w:r>
            <w:proofErr w:type="spellEnd"/>
            <w:r w:rsidRPr="000E1DBD">
              <w:rPr>
                <w:rFonts w:ascii="Times New Roman" w:hAnsi="Times New Roman"/>
                <w:sz w:val="24"/>
                <w:szCs w:val="20"/>
              </w:rPr>
              <w:t xml:space="preserve"> факторов не обнаружено.</w:t>
            </w:r>
          </w:p>
          <w:p w:rsidR="00DD3D0E" w:rsidRPr="000E1DBD" w:rsidRDefault="00DD3D0E" w:rsidP="00DD3D0E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1DBD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За 1 </w:t>
            </w:r>
            <w:proofErr w:type="gramStart"/>
            <w:r w:rsidR="007B0860">
              <w:rPr>
                <w:rFonts w:ascii="Times New Roman" w:hAnsi="Times New Roman"/>
                <w:sz w:val="24"/>
                <w:szCs w:val="20"/>
              </w:rPr>
              <w:t xml:space="preserve">полугодие </w:t>
            </w:r>
            <w:r w:rsidRPr="000E1DBD">
              <w:rPr>
                <w:rFonts w:ascii="Times New Roman" w:hAnsi="Times New Roman"/>
                <w:sz w:val="24"/>
                <w:szCs w:val="20"/>
              </w:rPr>
              <w:t xml:space="preserve"> 2024</w:t>
            </w:r>
            <w:proofErr w:type="gramEnd"/>
            <w:r w:rsidRPr="000E1DBD">
              <w:rPr>
                <w:rFonts w:ascii="Times New Roman" w:hAnsi="Times New Roman"/>
                <w:sz w:val="24"/>
                <w:szCs w:val="20"/>
              </w:rPr>
              <w:t xml:space="preserve"> года в подразделе «Независимая антикоррупционная экспертиза» ра</w:t>
            </w:r>
            <w:r w:rsidR="007B0860">
              <w:rPr>
                <w:rFonts w:ascii="Times New Roman" w:hAnsi="Times New Roman"/>
                <w:sz w:val="24"/>
                <w:szCs w:val="20"/>
              </w:rPr>
              <w:t>змещено 66</w:t>
            </w:r>
            <w:r w:rsidRPr="000E1DBD">
              <w:rPr>
                <w:rFonts w:ascii="Times New Roman" w:hAnsi="Times New Roman"/>
                <w:sz w:val="24"/>
                <w:szCs w:val="20"/>
              </w:rPr>
              <w:t xml:space="preserve"> проекта нормативных правовых актов (в том числе модельных проектов сельских поселений) </w:t>
            </w:r>
          </w:p>
          <w:p w:rsidR="00DD3D0E" w:rsidRPr="000E1DBD" w:rsidRDefault="00DD3D0E" w:rsidP="00DD3D0E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1DBD">
              <w:rPr>
                <w:rFonts w:ascii="Times New Roman" w:hAnsi="Times New Roman"/>
                <w:sz w:val="24"/>
                <w:szCs w:val="20"/>
              </w:rPr>
              <w:t>Заключений по проектам НПА, проведенными независимыми экспертами, за отчетный период не поступало.</w:t>
            </w:r>
          </w:p>
          <w:p w:rsidR="00DD3D0E" w:rsidRPr="000E1DBD" w:rsidRDefault="00DD3D0E" w:rsidP="00DD3D0E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1DBD">
              <w:rPr>
                <w:rFonts w:ascii="Times New Roman" w:hAnsi="Times New Roman"/>
                <w:sz w:val="24"/>
                <w:szCs w:val="20"/>
              </w:rPr>
              <w:t>Значение индикатора выполнено на 100%.</w:t>
            </w:r>
          </w:p>
          <w:p w:rsidR="00341C9B" w:rsidRPr="000E1DBD" w:rsidRDefault="00341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9B" w:rsidTr="00705E69">
        <w:trPr>
          <w:trHeight w:val="708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3. 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42031F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42031F" w:rsidRDefault="00D6140B">
            <w:pPr>
              <w:widowControl w:val="0"/>
              <w:spacing w:after="0" w:line="240" w:lineRule="auto"/>
              <w:jc w:val="both"/>
            </w:pPr>
            <w:r w:rsidRPr="0042031F">
              <w:rPr>
                <w:rFonts w:ascii="Times New Roman" w:hAnsi="Times New Roman"/>
                <w:sz w:val="24"/>
                <w:szCs w:val="24"/>
              </w:rPr>
              <w:t>3.7. 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42031F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F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42031F" w:rsidRDefault="00C02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F">
              <w:rPr>
                <w:rFonts w:ascii="Times New Roman" w:hAnsi="Times New Roman"/>
                <w:sz w:val="24"/>
                <w:szCs w:val="24"/>
              </w:rPr>
              <w:t xml:space="preserve">К работе по формированию антикоррупционного мировоззрения и </w:t>
            </w:r>
            <w:proofErr w:type="gramStart"/>
            <w:r w:rsidRPr="0042031F">
              <w:rPr>
                <w:rFonts w:ascii="Times New Roman" w:hAnsi="Times New Roman"/>
                <w:sz w:val="24"/>
                <w:szCs w:val="24"/>
              </w:rPr>
              <w:t>поведения,  а</w:t>
            </w:r>
            <w:proofErr w:type="gramEnd"/>
            <w:r w:rsidRPr="0042031F">
              <w:rPr>
                <w:rFonts w:ascii="Times New Roman" w:hAnsi="Times New Roman"/>
                <w:sz w:val="24"/>
                <w:szCs w:val="24"/>
              </w:rPr>
              <w:t xml:space="preserve"> также к проведению мероприятий привлечены общественные формирования.</w:t>
            </w:r>
          </w:p>
          <w:p w:rsidR="003F51F8" w:rsidRPr="0042031F" w:rsidRDefault="003F5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31F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F66EF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F66EF" w:rsidRDefault="00D6140B">
            <w:pPr>
              <w:widowControl w:val="0"/>
              <w:spacing w:after="0" w:line="240" w:lineRule="auto"/>
              <w:jc w:val="both"/>
            </w:pPr>
            <w:r w:rsidRPr="006F66EF">
              <w:rPr>
                <w:rFonts w:ascii="Times New Roman" w:hAnsi="Times New Roman"/>
                <w:sz w:val="24"/>
                <w:szCs w:val="24"/>
              </w:rPr>
              <w:t>3.8. Рассмотрение отчетов о реализации программ противодействия коррупции на заседаниях общественных советов органов публичной власти в Республике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6F66EF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EF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D" w:rsidRPr="006F66EF" w:rsidRDefault="0072599D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отчета о выполнении муниципальной программы «Реализация антикоррупционной политики в </w:t>
            </w:r>
            <w:proofErr w:type="spellStart"/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на 2024-2026 годы</w:t>
            </w:r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на заседании Общественного совета </w:t>
            </w:r>
            <w:proofErr w:type="spellStart"/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6F66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не проводилось. </w:t>
            </w:r>
          </w:p>
          <w:p w:rsidR="003F51F8" w:rsidRPr="006F66EF" w:rsidRDefault="003F51F8" w:rsidP="00725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66EF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623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4.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pacing w:after="0" w:line="240" w:lineRule="auto"/>
              <w:jc w:val="both"/>
            </w:pPr>
            <w:r w:rsidRPr="00132893">
              <w:rPr>
                <w:rFonts w:ascii="Times New Roman" w:hAnsi="Times New Roman"/>
                <w:sz w:val="24"/>
                <w:szCs w:val="24"/>
              </w:rPr>
              <w:t>4.2. 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132893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93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Вся информация размещена на сайте района, в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номера телефонов доверия, каждое интернет - обращение граждан автоматически попадает в базу данных электронного документооборота системы «Электронное правительство Республики Татарстан».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На сайте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опубликованы следующие номера телефонов доверия для сообщений о проявлениях коррупции: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-Совет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 тел.  (84360) 2-11-89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-Исполнительный комитет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 (84360) 2-18-67,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-Помощника главы по вопросам противодействия коррупции, секретаря комиссии по координации работы по противодействию коррупции: 8(84360) 2-16-32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Ответственного лица за профилактику коррупционных и иных правонарушений – заведующей сектором кадровых работ Исполнительного </w:t>
            </w:r>
            <w:proofErr w:type="gram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комитета 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proofErr w:type="gram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Телефон: 8 (84360) 2 – 14 – 70;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Прокуратуры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района: 8(84360) 2-12-46;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Отдела МВД России по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Тюлячинскому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району: 8(84360) 20-0-02;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интернет-приемной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 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telache@tatar.ru.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отчетный период сообщений о проявлениях коррупции на «телефон доверия» Совета и Исполнительного комитета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не поступало. На интернет-приемную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также  не</w:t>
            </w:r>
            <w:proofErr w:type="gram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поступали обращения.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Вся информация о деятельности муниципальных органов размещена на сайте района в разделе «Противодействие коррупции», который полностью соответствует </w:t>
            </w: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Единым требованиям к оформлению раздела «Противодействие коррупции» официальных сайтов МО и ГО РТ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При входе в здания Совета, центральной районной больницы установлены ящики для сообщений граждан о фактах коррупции.</w:t>
            </w:r>
            <w:r w:rsidR="008C5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отчетный период обращений не поступало.</w:t>
            </w: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Каждый вторник осуществляется прием граждан Главой </w:t>
            </w:r>
            <w:proofErr w:type="spellStart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705E69" w:rsidRPr="00132893" w:rsidRDefault="00705E69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8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индикатора выполнено на 100%.</w:t>
            </w:r>
          </w:p>
          <w:p w:rsidR="00341C9B" w:rsidRPr="00132893" w:rsidRDefault="00341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pacing w:after="0" w:line="240" w:lineRule="auto"/>
              <w:jc w:val="both"/>
            </w:pPr>
            <w:r w:rsidRPr="008C52A8">
              <w:rPr>
                <w:rFonts w:ascii="Times New Roman" w:hAnsi="Times New Roman"/>
                <w:sz w:val="24"/>
                <w:szCs w:val="24"/>
              </w:rPr>
              <w:t>4.3. Проведение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BE" w:rsidRPr="00D522BE" w:rsidRDefault="00D522BE" w:rsidP="00D522B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E">
              <w:rPr>
                <w:rFonts w:ascii="Times New Roman" w:hAnsi="Times New Roman"/>
                <w:sz w:val="24"/>
                <w:szCs w:val="24"/>
              </w:rPr>
              <w:t>Информация о коррупционных проявлениях в деятельности должностных лиц, в средствах массовой информации не размещена. Обращений граждан и юридических лиц о коррупционных нарушениях со стороны муниципальных служащих и должностных лиц органов местного самоуправления не поступала.</w:t>
            </w:r>
          </w:p>
          <w:p w:rsidR="00341C9B" w:rsidRPr="008C52A8" w:rsidRDefault="003F51F8" w:rsidP="00C02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pacing w:after="0" w:line="240" w:lineRule="auto"/>
              <w:jc w:val="both"/>
            </w:pPr>
            <w:r w:rsidRPr="008C52A8">
              <w:rPr>
                <w:rFonts w:ascii="Times New Roman" w:hAnsi="Times New Roman"/>
                <w:sz w:val="24"/>
                <w:szCs w:val="24"/>
              </w:rPr>
              <w:t>4.4 Оформление и актуализация специальных информационных стендов, разделов «Противодействие коррупции»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C5" w:rsidRPr="008C52A8" w:rsidRDefault="00C026C5" w:rsidP="00C026C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«Противодействие коррупции» официального сайта </w:t>
            </w:r>
            <w:proofErr w:type="spellStart"/>
            <w:r w:rsidRPr="008C52A8">
              <w:rPr>
                <w:rFonts w:ascii="Times New Roman" w:hAnsi="Times New Roman"/>
                <w:color w:val="000000"/>
                <w:sz w:val="24"/>
                <w:szCs w:val="24"/>
              </w:rPr>
              <w:t>Тюлячинского</w:t>
            </w:r>
            <w:proofErr w:type="spellEnd"/>
            <w:r w:rsidRPr="008C5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полностью соответствует Единым требованиям к размещению и наполнению </w:t>
            </w:r>
            <w:proofErr w:type="gramStart"/>
            <w:r w:rsidRPr="008C52A8">
              <w:rPr>
                <w:rFonts w:ascii="Times New Roman" w:hAnsi="Times New Roman"/>
                <w:color w:val="000000"/>
                <w:sz w:val="24"/>
                <w:szCs w:val="24"/>
              </w:rPr>
              <w:t>разделов  официальных</w:t>
            </w:r>
            <w:proofErr w:type="gramEnd"/>
            <w:r w:rsidRPr="008C5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Республики Татарстан от 04.04.2013 №225.</w:t>
            </w:r>
          </w:p>
          <w:p w:rsidR="00C026C5" w:rsidRPr="008C52A8" w:rsidRDefault="00C026C5" w:rsidP="00C026C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антикоррупционной направленности имеются во всех муниципальных учреждениях и органах местного самоуправления. Информация систематически обновляется. </w:t>
            </w:r>
          </w:p>
          <w:p w:rsidR="00C026C5" w:rsidRPr="008C52A8" w:rsidRDefault="00C026C5" w:rsidP="00C02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индикатора выполнено на 100%.</w:t>
            </w:r>
          </w:p>
          <w:p w:rsidR="00341C9B" w:rsidRPr="008C52A8" w:rsidRDefault="00341C9B" w:rsidP="00C026C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C9B" w:rsidTr="00705E69">
        <w:trPr>
          <w:trHeight w:val="601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164BE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2" w:name="_GoBack"/>
            <w:bookmarkEnd w:id="2"/>
            <w:r w:rsidRPr="007B08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5B6A67" w:rsidRDefault="00D6140B">
            <w:pPr>
              <w:widowControl w:val="0"/>
              <w:spacing w:after="0" w:line="240" w:lineRule="auto"/>
              <w:jc w:val="both"/>
            </w:pPr>
            <w:r w:rsidRPr="005B6A67">
              <w:rPr>
                <w:rFonts w:ascii="Times New Roman" w:hAnsi="Times New Roman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5B6A67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67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C5" w:rsidRPr="005B6A67" w:rsidRDefault="00C026C5" w:rsidP="00C02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проводится анализ муниципальных закупок.</w:t>
            </w:r>
          </w:p>
          <w:p w:rsidR="005B6A67" w:rsidRPr="005B6A67" w:rsidRDefault="005B6A67" w:rsidP="005B6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состоянию на 27.06.2024 года проведено 1095 процедуры торгов на общую сумму </w:t>
            </w:r>
          </w:p>
          <w:p w:rsidR="005B6A67" w:rsidRPr="005B6A67" w:rsidRDefault="005B6A67" w:rsidP="005B6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113722,42 руб. Цена контрактов 41133,87 руб. Экономия 1299,76 руб.</w:t>
            </w:r>
          </w:p>
          <w:p w:rsidR="005B6A67" w:rsidRPr="005B6A67" w:rsidRDefault="005B6A67" w:rsidP="005B6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18 в форме электронного аукциона 3 запрос котировок, 1 электронный открытый аукцион.</w:t>
            </w:r>
          </w:p>
          <w:p w:rsidR="005B6A67" w:rsidRDefault="005B6A67" w:rsidP="005B6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поступивших заявок на участие в процедурах – 40.</w:t>
            </w:r>
          </w:p>
          <w:p w:rsidR="00705E69" w:rsidRPr="005B6A67" w:rsidRDefault="00705E69" w:rsidP="005B6A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индикатора выполнено на 100%.</w:t>
            </w:r>
          </w:p>
          <w:p w:rsidR="00341C9B" w:rsidRPr="005B6A67" w:rsidRDefault="00341C9B" w:rsidP="00705E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9B" w:rsidTr="00705E69">
        <w:trPr>
          <w:trHeight w:val="376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Default="00D614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8. Усиление мер по минимизации бытовой коррупции</w:t>
            </w: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D2EA3" w:rsidRDefault="00D6140B">
            <w:pPr>
              <w:widowControl w:val="0"/>
              <w:spacing w:after="0" w:line="240" w:lineRule="auto"/>
              <w:jc w:val="both"/>
            </w:pPr>
            <w:r w:rsidRPr="007D2EA3">
              <w:rPr>
                <w:rFonts w:ascii="Times New Roman" w:hAnsi="Times New Roman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7D2EA3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4" w:rsidRPr="007D2EA3" w:rsidRDefault="00AA53F4" w:rsidP="00AA5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За отчетный период обращений о коррупционных проявлениях в сфере образования и здравоохранения не поступало.</w:t>
            </w:r>
          </w:p>
          <w:p w:rsidR="00705E69" w:rsidRPr="007D2EA3" w:rsidRDefault="00705E69" w:rsidP="00705E6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  <w:p w:rsidR="00341C9B" w:rsidRPr="007D2EA3" w:rsidRDefault="00341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C9B" w:rsidTr="00705E69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8.8.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02" w:rsidRPr="00FF6158" w:rsidRDefault="00087902" w:rsidP="000879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Осуществлен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коррупции. </w:t>
            </w:r>
          </w:p>
          <w:p w:rsidR="003F51F8" w:rsidRPr="00FF6158" w:rsidRDefault="00FF6158" w:rsidP="00087902">
            <w:pPr>
              <w:widowControl w:val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 истекший период</w:t>
            </w:r>
            <w:r w:rsidR="00087902"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нарушений по несоблюдению запретов, ограничений и требований не выявлено.</w:t>
            </w:r>
          </w:p>
          <w:p w:rsidR="00870947" w:rsidRPr="00FF6158" w:rsidRDefault="00870947" w:rsidP="00087902">
            <w:pPr>
              <w:widowControl w:val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</w:p>
          <w:p w:rsidR="00341C9B" w:rsidRPr="00FF6158" w:rsidRDefault="00341C9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C9B" w:rsidTr="00FF6158">
        <w:trPr>
          <w:trHeight w:val="226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8C52A8" w:rsidRDefault="00D614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A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</w:pPr>
            <w:r w:rsidRPr="00FF6158">
              <w:rPr>
                <w:rFonts w:ascii="Times New Roman" w:hAnsi="Times New Roman"/>
                <w:sz w:val="24"/>
                <w:szCs w:val="24"/>
              </w:rPr>
              <w:t>8.9. 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 </w:t>
            </w:r>
            <w:hyperlink r:id="rId12" w:anchor="/document/12164203/entry/0" w:history="1">
              <w:r w:rsidRPr="00FF61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FF6158">
              <w:rPr>
                <w:rFonts w:ascii="Times New Roman" w:hAnsi="Times New Roman"/>
                <w:sz w:val="24"/>
                <w:szCs w:val="24"/>
              </w:rPr>
              <w:t> 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9B" w:rsidRPr="00FF6158" w:rsidRDefault="00D614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58"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02" w:rsidRPr="00FF6158" w:rsidRDefault="00FF6158" w:rsidP="000879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 первое полугодие 2024 года</w:t>
            </w:r>
            <w:r w:rsidR="00087902"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осуществлен контроль за применением предусмот</w:t>
            </w:r>
            <w:r w:rsidR="00087902"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softHyphen/>
              <w:t>ренных законодательством мер юридической ответственности за несоблюдение запретов, ограничений и требований, установленных в це</w:t>
            </w:r>
            <w:r w:rsidR="00087902"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softHyphen/>
              <w:t>лях противодействия корруп</w:t>
            </w:r>
            <w:r w:rsidR="00087902"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softHyphen/>
              <w:t xml:space="preserve">ции. </w:t>
            </w:r>
          </w:p>
          <w:p w:rsidR="00087902" w:rsidRPr="00FF6158" w:rsidRDefault="00087902" w:rsidP="000879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Нарушений не выявлено, привлеченных к </w:t>
            </w:r>
            <w:proofErr w:type="gramStart"/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дисциплинарной  ответственности</w:t>
            </w:r>
            <w:proofErr w:type="gramEnd"/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не имеется.</w:t>
            </w:r>
          </w:p>
          <w:p w:rsidR="00341C9B" w:rsidRPr="00FF6158" w:rsidRDefault="00870947" w:rsidP="008709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5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Значение индикатора выполнено на 100%.</w:t>
            </w:r>
          </w:p>
        </w:tc>
      </w:tr>
    </w:tbl>
    <w:p w:rsidR="00341C9B" w:rsidRDefault="00341C9B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41C9B" w:rsidRDefault="00341C9B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341C9B">
      <w:headerReference w:type="default" r:id="rId13"/>
      <w:pgSz w:w="16838" w:h="11906" w:orient="landscape"/>
      <w:pgMar w:top="1134" w:right="567" w:bottom="1134" w:left="567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5C" w:rsidRDefault="00D6140B">
      <w:pPr>
        <w:spacing w:after="0" w:line="240" w:lineRule="auto"/>
      </w:pPr>
      <w:r>
        <w:separator/>
      </w:r>
    </w:p>
  </w:endnote>
  <w:endnote w:type="continuationSeparator" w:id="0">
    <w:p w:rsidR="00BE645C" w:rsidRDefault="00D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5C" w:rsidRDefault="00D6140B">
      <w:pPr>
        <w:spacing w:after="0" w:line="240" w:lineRule="auto"/>
      </w:pPr>
      <w:r>
        <w:separator/>
      </w:r>
    </w:p>
  </w:footnote>
  <w:footnote w:type="continuationSeparator" w:id="0">
    <w:p w:rsidR="00BE645C" w:rsidRDefault="00D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9B" w:rsidRDefault="00341C9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15B3"/>
    <w:multiLevelType w:val="multilevel"/>
    <w:tmpl w:val="44E0BD7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7325A8"/>
    <w:multiLevelType w:val="multilevel"/>
    <w:tmpl w:val="BF2EC2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9B"/>
    <w:rsid w:val="00006EC0"/>
    <w:rsid w:val="00060945"/>
    <w:rsid w:val="00087902"/>
    <w:rsid w:val="00097727"/>
    <w:rsid w:val="000C7994"/>
    <w:rsid w:val="000D55AE"/>
    <w:rsid w:val="000E1DBD"/>
    <w:rsid w:val="00107846"/>
    <w:rsid w:val="00121721"/>
    <w:rsid w:val="0012508F"/>
    <w:rsid w:val="00132893"/>
    <w:rsid w:val="00145BDA"/>
    <w:rsid w:val="00171512"/>
    <w:rsid w:val="001A1E80"/>
    <w:rsid w:val="00282AD6"/>
    <w:rsid w:val="00297E8B"/>
    <w:rsid w:val="002C1EBF"/>
    <w:rsid w:val="002D3928"/>
    <w:rsid w:val="002E1175"/>
    <w:rsid w:val="00341C9B"/>
    <w:rsid w:val="003971EA"/>
    <w:rsid w:val="003A6AFF"/>
    <w:rsid w:val="003B230D"/>
    <w:rsid w:val="003B52F6"/>
    <w:rsid w:val="003F49C5"/>
    <w:rsid w:val="003F51F8"/>
    <w:rsid w:val="0042031F"/>
    <w:rsid w:val="0042467A"/>
    <w:rsid w:val="00443534"/>
    <w:rsid w:val="004846AD"/>
    <w:rsid w:val="004A1558"/>
    <w:rsid w:val="004C48AF"/>
    <w:rsid w:val="004D0264"/>
    <w:rsid w:val="00514B5C"/>
    <w:rsid w:val="00553245"/>
    <w:rsid w:val="005A4050"/>
    <w:rsid w:val="005B6A67"/>
    <w:rsid w:val="005F07E3"/>
    <w:rsid w:val="005F76CF"/>
    <w:rsid w:val="00614D96"/>
    <w:rsid w:val="006404DE"/>
    <w:rsid w:val="00650545"/>
    <w:rsid w:val="006C0FF8"/>
    <w:rsid w:val="006C30AB"/>
    <w:rsid w:val="006C4E77"/>
    <w:rsid w:val="006E43C2"/>
    <w:rsid w:val="006F66EF"/>
    <w:rsid w:val="00705875"/>
    <w:rsid w:val="00705E69"/>
    <w:rsid w:val="007164BE"/>
    <w:rsid w:val="0072599D"/>
    <w:rsid w:val="00736A04"/>
    <w:rsid w:val="007909CC"/>
    <w:rsid w:val="007A6637"/>
    <w:rsid w:val="007B0860"/>
    <w:rsid w:val="007D2EA3"/>
    <w:rsid w:val="007D70A9"/>
    <w:rsid w:val="007F2517"/>
    <w:rsid w:val="0083221A"/>
    <w:rsid w:val="00847234"/>
    <w:rsid w:val="00853673"/>
    <w:rsid w:val="008700A2"/>
    <w:rsid w:val="00870947"/>
    <w:rsid w:val="008A4200"/>
    <w:rsid w:val="008B4CE4"/>
    <w:rsid w:val="008C52A8"/>
    <w:rsid w:val="008E1426"/>
    <w:rsid w:val="008E24DE"/>
    <w:rsid w:val="00905D07"/>
    <w:rsid w:val="00913A71"/>
    <w:rsid w:val="009175D1"/>
    <w:rsid w:val="009840AD"/>
    <w:rsid w:val="009866E8"/>
    <w:rsid w:val="009C1378"/>
    <w:rsid w:val="009D3BAC"/>
    <w:rsid w:val="00A11C3E"/>
    <w:rsid w:val="00A76FC0"/>
    <w:rsid w:val="00A8551C"/>
    <w:rsid w:val="00A9062D"/>
    <w:rsid w:val="00AA53F4"/>
    <w:rsid w:val="00AD34ED"/>
    <w:rsid w:val="00B00540"/>
    <w:rsid w:val="00B04DF3"/>
    <w:rsid w:val="00B12A57"/>
    <w:rsid w:val="00B26654"/>
    <w:rsid w:val="00B76647"/>
    <w:rsid w:val="00BB7910"/>
    <w:rsid w:val="00BD0C61"/>
    <w:rsid w:val="00BD30C7"/>
    <w:rsid w:val="00BE645C"/>
    <w:rsid w:val="00C026C5"/>
    <w:rsid w:val="00CB1101"/>
    <w:rsid w:val="00CD2B7D"/>
    <w:rsid w:val="00CE3F85"/>
    <w:rsid w:val="00D16B95"/>
    <w:rsid w:val="00D22349"/>
    <w:rsid w:val="00D46076"/>
    <w:rsid w:val="00D46D94"/>
    <w:rsid w:val="00D522BE"/>
    <w:rsid w:val="00D6140B"/>
    <w:rsid w:val="00D64262"/>
    <w:rsid w:val="00D66102"/>
    <w:rsid w:val="00D67D3E"/>
    <w:rsid w:val="00D83133"/>
    <w:rsid w:val="00D834E2"/>
    <w:rsid w:val="00D900A5"/>
    <w:rsid w:val="00DA577D"/>
    <w:rsid w:val="00DD3D0E"/>
    <w:rsid w:val="00E02EFD"/>
    <w:rsid w:val="00E23F2F"/>
    <w:rsid w:val="00E30402"/>
    <w:rsid w:val="00E55B63"/>
    <w:rsid w:val="00E71A2B"/>
    <w:rsid w:val="00E81546"/>
    <w:rsid w:val="00ED5607"/>
    <w:rsid w:val="00EE3702"/>
    <w:rsid w:val="00EF3668"/>
    <w:rsid w:val="00EF7CA1"/>
    <w:rsid w:val="00F02001"/>
    <w:rsid w:val="00F03F11"/>
    <w:rsid w:val="00F11088"/>
    <w:rsid w:val="00F64E26"/>
    <w:rsid w:val="00FA07AE"/>
    <w:rsid w:val="00FC01A0"/>
    <w:rsid w:val="00FC1BE4"/>
    <w:rsid w:val="00FE6CC2"/>
    <w:rsid w:val="00FF2685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6A7"/>
  <w15:docId w15:val="{F3107DBE-1308-49A9-9544-F2429DD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NSimSun" w:hAnsi="PT Astra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styleId="af5">
    <w:name w:val="Title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3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4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6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8">
    <w:name w:val="Содержимое таблицы"/>
    <w:basedOn w:val="a"/>
    <w:qFormat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Содержимое врезки"/>
    <w:basedOn w:val="a"/>
    <w:qFormat/>
  </w:style>
  <w:style w:type="numbering" w:customStyle="1" w:styleId="WW8Num1">
    <w:name w:val="WW8Num1"/>
    <w:qFormat/>
  </w:style>
  <w:style w:type="paragraph" w:customStyle="1" w:styleId="23">
    <w:name w:val="Абзац списка2"/>
    <w:basedOn w:val="a"/>
    <w:link w:val="ListParagraphChar"/>
    <w:rsid w:val="003A6AFF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23"/>
    <w:locked/>
    <w:rsid w:val="003A6AF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reci.tatar.ru/rus/anticor/ae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14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dc:description/>
  <cp:lastModifiedBy>Приемная Главы район</cp:lastModifiedBy>
  <cp:revision>114</cp:revision>
  <cp:lastPrinted>2014-07-16T15:25:00Z</cp:lastPrinted>
  <dcterms:created xsi:type="dcterms:W3CDTF">2024-03-28T13:16:00Z</dcterms:created>
  <dcterms:modified xsi:type="dcterms:W3CDTF">2024-07-01T06:04:00Z</dcterms:modified>
  <dc:language>ru-RU</dc:language>
</cp:coreProperties>
</file>